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438EF" w14:textId="7C2A7A88" w:rsidR="00EF34C1" w:rsidRDefault="00EF34C1" w:rsidP="009663FB">
      <w:pPr>
        <w:ind w:left="-567"/>
        <w:jc w:val="right"/>
        <w:rPr>
          <w:rFonts w:ascii="Candara" w:hAnsi="Candara"/>
          <w:noProof/>
          <w:sz w:val="22"/>
          <w:szCs w:val="22"/>
          <w:lang w:val="en-US"/>
        </w:rPr>
      </w:pPr>
    </w:p>
    <w:p w14:paraId="04ABB855" w14:textId="77777777" w:rsidR="00DC2723" w:rsidRPr="006A48FB" w:rsidRDefault="00DC2723" w:rsidP="009663FB">
      <w:pPr>
        <w:ind w:left="-567"/>
        <w:jc w:val="right"/>
        <w:rPr>
          <w:rFonts w:ascii="Candara" w:hAnsi="Candara"/>
          <w:color w:val="595959" w:themeColor="text1" w:themeTint="A6"/>
          <w:sz w:val="22"/>
          <w:szCs w:val="22"/>
        </w:rPr>
      </w:pPr>
    </w:p>
    <w:p w14:paraId="5F5A77C7" w14:textId="77777777" w:rsidR="009663FB" w:rsidRPr="006A48FB" w:rsidRDefault="009663FB" w:rsidP="00EF34C1">
      <w:pPr>
        <w:ind w:left="-567" w:right="-347"/>
        <w:jc w:val="right"/>
        <w:rPr>
          <w:rFonts w:ascii="Candara" w:hAnsi="Candara"/>
          <w:color w:val="595959" w:themeColor="text1" w:themeTint="A6"/>
          <w:sz w:val="22"/>
          <w:szCs w:val="22"/>
        </w:rPr>
      </w:pPr>
    </w:p>
    <w:p w14:paraId="67D8E058" w14:textId="116E86B8" w:rsidR="00760C5E" w:rsidRPr="006A48FB" w:rsidRDefault="00345B25" w:rsidP="009663FB">
      <w:pPr>
        <w:jc w:val="right"/>
        <w:rPr>
          <w:rFonts w:ascii="Candara" w:hAnsi="Candara"/>
          <w:b/>
          <w:sz w:val="28"/>
          <w:szCs w:val="22"/>
        </w:rPr>
      </w:pPr>
      <w:r>
        <w:rPr>
          <w:rFonts w:ascii="Candara" w:hAnsi="Candara"/>
          <w:b/>
          <w:sz w:val="28"/>
          <w:szCs w:val="22"/>
        </w:rPr>
        <w:t>LUCA DAL POZZOLO</w:t>
      </w:r>
    </w:p>
    <w:p w14:paraId="1315B632" w14:textId="77777777" w:rsidR="00B96698" w:rsidRDefault="00B96698" w:rsidP="00FE0FAA">
      <w:pPr>
        <w:jc w:val="both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4ACB5159" w14:textId="77777777" w:rsidR="00DC2723" w:rsidRPr="006A48FB" w:rsidRDefault="00DC2723" w:rsidP="00FE0FAA">
      <w:pPr>
        <w:jc w:val="both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31D0A33D" w14:textId="48070D6D" w:rsidR="00345B25" w:rsidRPr="00345B25" w:rsidRDefault="00345B25" w:rsidP="00345B25">
      <w:pPr>
        <w:ind w:right="-1"/>
        <w:jc w:val="both"/>
        <w:rPr>
          <w:rFonts w:ascii="Candara" w:hAnsi="Candara"/>
          <w:sz w:val="22"/>
          <w:szCs w:val="22"/>
        </w:rPr>
      </w:pPr>
      <w:r w:rsidRPr="00345B25">
        <w:rPr>
          <w:rFonts w:ascii="Candara" w:hAnsi="Candara"/>
          <w:sz w:val="22"/>
          <w:szCs w:val="22"/>
        </w:rPr>
        <w:t xml:space="preserve">Luca Dal Pozzolo, è socio fondatore della Fondazione </w:t>
      </w:r>
      <w:proofErr w:type="spellStart"/>
      <w:proofErr w:type="gramStart"/>
      <w:r w:rsidRPr="00345B25">
        <w:rPr>
          <w:rFonts w:ascii="Candara" w:hAnsi="Candara"/>
          <w:sz w:val="22"/>
          <w:szCs w:val="22"/>
        </w:rPr>
        <w:t>Fitzcarraldo</w:t>
      </w:r>
      <w:proofErr w:type="spellEnd"/>
      <w:r w:rsidRPr="00345B25">
        <w:rPr>
          <w:rFonts w:ascii="Candara" w:hAnsi="Candara"/>
          <w:sz w:val="22"/>
          <w:szCs w:val="22"/>
        </w:rPr>
        <w:t xml:space="preserve"> dove</w:t>
      </w:r>
      <w:proofErr w:type="gramEnd"/>
      <w:r w:rsidRPr="00345B25">
        <w:rPr>
          <w:rFonts w:ascii="Candara" w:hAnsi="Candara"/>
          <w:sz w:val="22"/>
          <w:szCs w:val="22"/>
        </w:rPr>
        <w:t xml:space="preserve"> si occupa di ricerca e dirige inoltre l’Osservatorio Culturale del Piemonte. </w:t>
      </w:r>
      <w:proofErr w:type="gramStart"/>
      <w:r w:rsidRPr="00345B25">
        <w:rPr>
          <w:rFonts w:ascii="Candara" w:hAnsi="Candara"/>
          <w:sz w:val="22"/>
          <w:szCs w:val="22"/>
        </w:rPr>
        <w:t>Insegna al Politecnico di Torino e alla Facoltà di Economia di Bologna</w:t>
      </w:r>
      <w:proofErr w:type="gramEnd"/>
      <w:r w:rsidRPr="00345B25">
        <w:rPr>
          <w:rFonts w:ascii="Candara" w:hAnsi="Candara"/>
          <w:sz w:val="22"/>
          <w:szCs w:val="22"/>
        </w:rPr>
        <w:t xml:space="preserve">. Ha pubblicato numerosi libri sulla dimensione culturale delle trasformazioni urbane </w:t>
      </w:r>
      <w:r>
        <w:rPr>
          <w:rFonts w:ascii="Candara" w:hAnsi="Candara"/>
          <w:sz w:val="22"/>
          <w:szCs w:val="22"/>
        </w:rPr>
        <w:t>e sui beni cultur</w:t>
      </w:r>
      <w:r w:rsidRPr="00345B25">
        <w:rPr>
          <w:rFonts w:ascii="Candara" w:hAnsi="Candara"/>
          <w:sz w:val="22"/>
          <w:szCs w:val="22"/>
        </w:rPr>
        <w:t>ali.</w:t>
      </w:r>
    </w:p>
    <w:p w14:paraId="5B793BC9" w14:textId="6B623679" w:rsidR="006A48FB" w:rsidRPr="00DC2723" w:rsidRDefault="006A48FB" w:rsidP="00FE0FAA">
      <w:pPr>
        <w:tabs>
          <w:tab w:val="left" w:pos="8080"/>
        </w:tabs>
        <w:ind w:right="-1"/>
        <w:jc w:val="both"/>
        <w:rPr>
          <w:rFonts w:ascii="Candara" w:hAnsi="Candara"/>
          <w:sz w:val="18"/>
          <w:szCs w:val="22"/>
        </w:rPr>
      </w:pPr>
    </w:p>
    <w:p w14:paraId="01877037" w14:textId="77777777" w:rsidR="00EA15C3" w:rsidRDefault="00EA15C3" w:rsidP="006A48FB">
      <w:pPr>
        <w:ind w:left="-284" w:right="424"/>
        <w:jc w:val="right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74FC8D35" w14:textId="77777777" w:rsidR="00DC2723" w:rsidRPr="00DC2723" w:rsidRDefault="00DC2723" w:rsidP="006A48FB">
      <w:pPr>
        <w:ind w:left="-284" w:right="424"/>
        <w:jc w:val="right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19FBC430" w14:textId="6AA217B7" w:rsidR="008242C8" w:rsidRPr="00DC2723" w:rsidRDefault="008242C8" w:rsidP="008242C8">
      <w:pPr>
        <w:jc w:val="right"/>
        <w:rPr>
          <w:rFonts w:ascii="Candara" w:hAnsi="Candara"/>
          <w:szCs w:val="22"/>
        </w:rPr>
      </w:pPr>
      <w:proofErr w:type="gramStart"/>
      <w:r w:rsidRPr="00DC2723">
        <w:rPr>
          <w:rFonts w:ascii="Candara" w:hAnsi="Candara"/>
          <w:szCs w:val="22"/>
        </w:rPr>
        <w:t>ABSTRACT</w:t>
      </w:r>
      <w:proofErr w:type="gramEnd"/>
    </w:p>
    <w:p w14:paraId="7710927C" w14:textId="77777777" w:rsidR="00760C5E" w:rsidRDefault="00760C5E" w:rsidP="00402A54">
      <w:pPr>
        <w:ind w:right="-1"/>
        <w:jc w:val="both"/>
        <w:rPr>
          <w:rFonts w:ascii="Candara" w:hAnsi="Candara"/>
          <w:sz w:val="18"/>
          <w:szCs w:val="22"/>
        </w:rPr>
      </w:pPr>
    </w:p>
    <w:p w14:paraId="519AEBCF" w14:textId="77777777" w:rsidR="00345B25" w:rsidRPr="00DC2723" w:rsidRDefault="00345B25" w:rsidP="00402A54">
      <w:pPr>
        <w:ind w:right="-1"/>
        <w:jc w:val="both"/>
        <w:rPr>
          <w:rFonts w:ascii="Candara" w:hAnsi="Candara"/>
          <w:sz w:val="18"/>
          <w:szCs w:val="22"/>
        </w:rPr>
      </w:pPr>
      <w:bookmarkStart w:id="0" w:name="_GoBack"/>
      <w:bookmarkEnd w:id="0"/>
    </w:p>
    <w:p w14:paraId="33213422" w14:textId="77777777" w:rsidR="00345B25" w:rsidRPr="00345B25" w:rsidRDefault="00345B25" w:rsidP="00345B25">
      <w:pPr>
        <w:ind w:right="-1"/>
        <w:jc w:val="right"/>
        <w:rPr>
          <w:rFonts w:ascii="Candara" w:hAnsi="Candara"/>
          <w:sz w:val="22"/>
          <w:szCs w:val="22"/>
        </w:rPr>
      </w:pPr>
      <w:r w:rsidRPr="00345B25">
        <w:rPr>
          <w:rFonts w:ascii="Candara" w:hAnsi="Candara"/>
          <w:sz w:val="22"/>
          <w:szCs w:val="22"/>
        </w:rPr>
        <w:t xml:space="preserve">Cultura e welfare: una relazione da </w:t>
      </w:r>
      <w:proofErr w:type="gramStart"/>
      <w:r w:rsidRPr="00345B25">
        <w:rPr>
          <w:rFonts w:ascii="Candara" w:hAnsi="Candara"/>
          <w:sz w:val="22"/>
          <w:szCs w:val="22"/>
        </w:rPr>
        <w:t>costruire</w:t>
      </w:r>
      <w:proofErr w:type="gramEnd"/>
    </w:p>
    <w:p w14:paraId="1BD9D7C4" w14:textId="77777777" w:rsidR="00345B25" w:rsidRPr="00345B25" w:rsidRDefault="00345B25" w:rsidP="00345B25">
      <w:pPr>
        <w:ind w:right="-1"/>
        <w:jc w:val="both"/>
        <w:rPr>
          <w:rFonts w:ascii="Candara" w:hAnsi="Candara"/>
          <w:sz w:val="22"/>
          <w:szCs w:val="22"/>
        </w:rPr>
      </w:pPr>
    </w:p>
    <w:p w14:paraId="0F3744C3" w14:textId="77777777" w:rsidR="00345B25" w:rsidRPr="00345B25" w:rsidRDefault="00345B25" w:rsidP="00345B25">
      <w:pPr>
        <w:ind w:right="-1"/>
        <w:jc w:val="both"/>
        <w:rPr>
          <w:rFonts w:ascii="Candara" w:hAnsi="Candara"/>
          <w:sz w:val="22"/>
          <w:szCs w:val="22"/>
        </w:rPr>
      </w:pPr>
      <w:r w:rsidRPr="00345B25">
        <w:rPr>
          <w:rFonts w:ascii="Candara" w:hAnsi="Candara"/>
          <w:sz w:val="22"/>
          <w:szCs w:val="22"/>
        </w:rPr>
        <w:t xml:space="preserve">Le politiche culturali e le motivazioni per il sostegno pubblico alle iniziative culturali si fondano storicamente su di una molteplicità di approcci, ma soprattutto in tempo di crisi emerge per i decisori la necessità di una valutazione degli impatti che ne costituisca fonte di legittimazione. </w:t>
      </w:r>
    </w:p>
    <w:p w14:paraId="5655960D" w14:textId="77777777" w:rsidR="00345B25" w:rsidRPr="00345B25" w:rsidRDefault="00345B25" w:rsidP="00345B25">
      <w:pPr>
        <w:ind w:right="-1"/>
        <w:jc w:val="both"/>
        <w:rPr>
          <w:rFonts w:ascii="Candara" w:hAnsi="Candara"/>
          <w:sz w:val="22"/>
          <w:szCs w:val="22"/>
        </w:rPr>
      </w:pPr>
      <w:r w:rsidRPr="00345B25">
        <w:rPr>
          <w:rFonts w:ascii="Candara" w:hAnsi="Candara"/>
          <w:sz w:val="22"/>
          <w:szCs w:val="22"/>
        </w:rPr>
        <w:t>In questo quadro le analisi d’impatto economico e le ricadute misurabili in termini monetari sulle comunità locali rischiano di monopolizzare ogni attenzione e di divenire – proprio in ragione dell’efficacia delle loro metriche – l’unico parametro da considerare, oscurando</w:t>
      </w:r>
      <w:proofErr w:type="gramStart"/>
      <w:r w:rsidRPr="00345B25">
        <w:rPr>
          <w:rFonts w:ascii="Candara" w:hAnsi="Candara"/>
          <w:sz w:val="22"/>
          <w:szCs w:val="22"/>
        </w:rPr>
        <w:t xml:space="preserve">  </w:t>
      </w:r>
      <w:proofErr w:type="gramEnd"/>
      <w:r w:rsidRPr="00345B25">
        <w:rPr>
          <w:rFonts w:ascii="Candara" w:hAnsi="Candara"/>
          <w:sz w:val="22"/>
          <w:szCs w:val="22"/>
        </w:rPr>
        <w:t>ogni altra dimensione dell’attività culturale.</w:t>
      </w:r>
    </w:p>
    <w:p w14:paraId="2C6A46D1" w14:textId="77777777" w:rsidR="00345B25" w:rsidRPr="00345B25" w:rsidRDefault="00345B25" w:rsidP="00345B25">
      <w:pPr>
        <w:ind w:right="-1"/>
        <w:jc w:val="both"/>
        <w:rPr>
          <w:rFonts w:ascii="Candara" w:hAnsi="Candara"/>
          <w:sz w:val="22"/>
          <w:szCs w:val="22"/>
        </w:rPr>
      </w:pPr>
      <w:r w:rsidRPr="00345B25">
        <w:rPr>
          <w:rFonts w:ascii="Candara" w:hAnsi="Candara"/>
          <w:sz w:val="22"/>
          <w:szCs w:val="22"/>
        </w:rPr>
        <w:t xml:space="preserve">La relazione tra cultura e welfare, l’impatto sociale delle attività culturali </w:t>
      </w:r>
      <w:proofErr w:type="gramStart"/>
      <w:r w:rsidRPr="00345B25">
        <w:rPr>
          <w:rFonts w:ascii="Candara" w:hAnsi="Candara"/>
          <w:sz w:val="22"/>
          <w:szCs w:val="22"/>
        </w:rPr>
        <w:t>necessita di</w:t>
      </w:r>
      <w:proofErr w:type="gramEnd"/>
      <w:r w:rsidRPr="00345B25">
        <w:rPr>
          <w:rFonts w:ascii="Candara" w:hAnsi="Candara"/>
          <w:sz w:val="22"/>
          <w:szCs w:val="22"/>
        </w:rPr>
        <w:t xml:space="preserve"> essere nuovamente posto in luce nel dibattito sulle policy da intraprendere e deve trovare momenti di valutazione e di misurazione che consentano di costruire un approccio multidimensionale, capace non solo di valutare i benefici sociali, ma anche di indirizzare le attività culturali a contribuire al  benessere collettivo recuperando una dimensione attualmente in ombra nel dibattito.</w:t>
      </w:r>
    </w:p>
    <w:p w14:paraId="0F56DCBC" w14:textId="25A48223" w:rsidR="00C659EF" w:rsidRPr="00345B25" w:rsidRDefault="00C659EF" w:rsidP="00345B25">
      <w:pPr>
        <w:ind w:right="-1"/>
        <w:jc w:val="both"/>
        <w:rPr>
          <w:rFonts w:ascii="Candara" w:hAnsi="Candara"/>
          <w:sz w:val="22"/>
          <w:szCs w:val="22"/>
        </w:rPr>
      </w:pPr>
    </w:p>
    <w:sectPr w:rsidR="00C659EF" w:rsidRPr="00345B25" w:rsidSect="006A48FB">
      <w:headerReference w:type="default" r:id="rId7"/>
      <w:footerReference w:type="default" r:id="rId8"/>
      <w:pgSz w:w="11900" w:h="16840"/>
      <w:pgMar w:top="1440" w:right="1552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6CF4C" w14:textId="77777777" w:rsidR="001D0202" w:rsidRDefault="001D0202" w:rsidP="00760C5E">
      <w:r>
        <w:separator/>
      </w:r>
    </w:p>
  </w:endnote>
  <w:endnote w:type="continuationSeparator" w:id="0">
    <w:p w14:paraId="12BE421C" w14:textId="77777777" w:rsidR="001D0202" w:rsidRDefault="001D0202" w:rsidP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DFE8C" w14:textId="13CFCF72" w:rsidR="001D0202" w:rsidRDefault="001D0202" w:rsidP="000065E3">
    <w:pPr>
      <w:pStyle w:val="Footer"/>
      <w:ind w:left="-1560"/>
    </w:pPr>
  </w:p>
  <w:p w14:paraId="2B6B184D" w14:textId="77777777" w:rsidR="001D0202" w:rsidRDefault="001D0202" w:rsidP="00760C5E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BBFF3" w14:textId="77777777" w:rsidR="001D0202" w:rsidRDefault="001D0202" w:rsidP="00760C5E">
      <w:r>
        <w:separator/>
      </w:r>
    </w:p>
  </w:footnote>
  <w:footnote w:type="continuationSeparator" w:id="0">
    <w:p w14:paraId="7EAE389C" w14:textId="77777777" w:rsidR="001D0202" w:rsidRDefault="001D0202" w:rsidP="00760C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4B2FD" w14:textId="77777777" w:rsidR="001D0202" w:rsidRDefault="001D0202">
    <w:pPr>
      <w:pStyle w:val="Header"/>
    </w:pPr>
  </w:p>
  <w:p w14:paraId="2655FA78" w14:textId="15D6F775" w:rsidR="001D0202" w:rsidRDefault="006A48FB">
    <w:pPr>
      <w:pStyle w:val="Header"/>
    </w:pPr>
    <w:r>
      <w:rPr>
        <w:noProof/>
        <w:lang w:val="en-US"/>
      </w:rPr>
      <w:drawing>
        <wp:inline distT="0" distB="0" distL="0" distR="0" wp14:anchorId="72E00CC8" wp14:editId="618728E2">
          <wp:extent cx="1028700" cy="1447154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44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5E"/>
    <w:rsid w:val="000065E3"/>
    <w:rsid w:val="00107C3C"/>
    <w:rsid w:val="001872CC"/>
    <w:rsid w:val="00191128"/>
    <w:rsid w:val="001D0202"/>
    <w:rsid w:val="00293C7A"/>
    <w:rsid w:val="00345B25"/>
    <w:rsid w:val="00402A54"/>
    <w:rsid w:val="006A48FB"/>
    <w:rsid w:val="00760C5E"/>
    <w:rsid w:val="00793AF8"/>
    <w:rsid w:val="007E3294"/>
    <w:rsid w:val="008242C8"/>
    <w:rsid w:val="00862B0E"/>
    <w:rsid w:val="00945939"/>
    <w:rsid w:val="009663FB"/>
    <w:rsid w:val="009B733C"/>
    <w:rsid w:val="009E2E7F"/>
    <w:rsid w:val="00A26BB0"/>
    <w:rsid w:val="00A933BA"/>
    <w:rsid w:val="00B96698"/>
    <w:rsid w:val="00C54E09"/>
    <w:rsid w:val="00C659EF"/>
    <w:rsid w:val="00D83061"/>
    <w:rsid w:val="00DC2723"/>
    <w:rsid w:val="00EA15C3"/>
    <w:rsid w:val="00EF34C1"/>
    <w:rsid w:val="00F1310D"/>
    <w:rsid w:val="00F62F67"/>
    <w:rsid w:val="00FD346D"/>
    <w:rsid w:val="00F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C16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5E"/>
  </w:style>
  <w:style w:type="paragraph" w:styleId="Footer">
    <w:name w:val="footer"/>
    <w:basedOn w:val="Normal"/>
    <w:link w:val="Foot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C5E"/>
  </w:style>
  <w:style w:type="paragraph" w:styleId="BalloonText">
    <w:name w:val="Balloon Text"/>
    <w:basedOn w:val="Normal"/>
    <w:link w:val="BalloonTextChar"/>
    <w:uiPriority w:val="99"/>
    <w:semiHidden/>
    <w:unhideWhenUsed/>
    <w:rsid w:val="00760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5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0C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8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5E"/>
  </w:style>
  <w:style w:type="paragraph" w:styleId="Footer">
    <w:name w:val="footer"/>
    <w:basedOn w:val="Normal"/>
    <w:link w:val="Foot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C5E"/>
  </w:style>
  <w:style w:type="paragraph" w:styleId="BalloonText">
    <w:name w:val="Balloon Text"/>
    <w:basedOn w:val="Normal"/>
    <w:link w:val="BalloonTextChar"/>
    <w:uiPriority w:val="99"/>
    <w:semiHidden/>
    <w:unhideWhenUsed/>
    <w:rsid w:val="00760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5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0C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Macintosh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Grandini</dc:creator>
  <cp:keywords/>
  <dc:description/>
  <cp:lastModifiedBy>Gaia Grandini</cp:lastModifiedBy>
  <cp:revision>3</cp:revision>
  <cp:lastPrinted>2013-10-03T04:08:00Z</cp:lastPrinted>
  <dcterms:created xsi:type="dcterms:W3CDTF">2013-10-09T07:00:00Z</dcterms:created>
  <dcterms:modified xsi:type="dcterms:W3CDTF">2013-10-09T07:02:00Z</dcterms:modified>
</cp:coreProperties>
</file>