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8C" w:rsidRPr="000A238C" w:rsidRDefault="000A238C" w:rsidP="000A238C">
      <w:pPr>
        <w:spacing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b/>
          <w:bCs/>
          <w:color w:val="292929"/>
          <w:sz w:val="18"/>
          <w:szCs w:val="18"/>
          <w:lang w:eastAsia="it-IT"/>
        </w:rPr>
        <w:t>5. Prescrizioni relative al trattamento dei dati personali effettuato per scopi di ricerca scientifica (aut. gen. n. 9/2016</w:t>
      </w:r>
      <w:bookmarkStart w:id="0" w:name="_GoBack"/>
      <w:bookmarkEnd w:id="0"/>
      <w:r w:rsidRPr="000A238C">
        <w:rPr>
          <w:rFonts w:ascii="Helvetica" w:eastAsia="Times New Roman" w:hAnsi="Helvetica" w:cs="Helvetica"/>
          <w:b/>
          <w:bCs/>
          <w:color w:val="292929"/>
          <w:sz w:val="18"/>
          <w:szCs w:val="18"/>
          <w:lang w:eastAsia="it-IT"/>
        </w:rPr>
        <w:t>).</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5.1 Ambito di applicazione </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Le presenti prescrizioni concernono il trattamento effettuato da: </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a) università, altri enti o istituti di ricerca e società scientifiche, nonché ricercatori che operano nell’ambito di dette università, enti, istituti di ricerca e ai soci di dette società scientifiche;</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b) esercenti le professioni sanitarie e gli organismi sanitari;</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c) persone fisiche o giuridiche, enti, associazioni e organismi privati, nonché soggetti specificatamente preposti al trattamento quali designati o responsabili del trattamento (ricercatori, monitor, commissioni di esperti, organizzazioni di ricerca a contratto, laboratori di analisi, ecc.) (art. 2-quaterdecies del Codice; 28 del Regolamento UE 2016/679).</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5.2 Tipologie di ricerche</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Le seguenti prescrizioni concernono il trattamento di dati personali per finalità di ricerca medica, biomedica ed epidemiologica effettuati quando:</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il trattamento è necessario per la conduzione di studi effettuati con dati raccolti in precedenza a fini di cura della salute o per l’esecuzione di precedenti progetti di ricerca ovvero ricavati da campioni biologici prelevati in precedenza per finalità di tutela della salute o per l’esecuzione di precedenti progetti di ricerca oppure</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il trattamento è necessario per la conduzione di studi effettuati con dati riferiti a persone che, in ragione della gravità del loro stato clinico, non sono in grado di comprendere le indicazioni rese nell´informativa e di prestare validamente il consenso.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In questi casi la ricerca deve essere effettuata sulla base di un progetto, oggetto di motivato parere favorevole del competente comitato etico a livello territoriale.</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5.3 Consenso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Il consenso dell’interessato non è necessario quando la ricerca è effettuata in base a disposizioni di legge o di regolamento o al diritto dell'Unione europea.</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Negli altri casi, quando non è possibile acquisire il consenso degli interessati, i titolari del trattamento devono documentare, nel progetto di ricerca, la sussistenza delle ragioni, considerate del tutto particolari o eccezionali, per le quali informare gli interessati risulta impossibile o implica uno sforzo sproporzionato, oppure rischia di rendere impossibile o di pregiudicare gravemente il conseguimento delle finalità della ricerca, tra le quali in particolare:</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1. i motivi etici riconducibili alla circostanza che l’interessato ignora la propria condizione. Rientrano in questa categoria le ricerche per le quali l’informativa sul trattamento dei dati da rendere agli interessati comporterebbe la rivelazione di notizie concernenti la conduzione dello studio la cui conoscenza potrebbe arrecare un danno materiale o psicologico agli interessati stessi (possono rientrare in questa ipotesi, ad esempio, gli studi epidemiologici sulla distribuzione di un fattore che predica o possa predire lo sviluppo di uno stato morboso per il quale non esista un trattamento).</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2. i motivi di impossibilità organizzativa riconducibili alla circostanza che la mancata considerazione dei dati riferiti al numero stimato di interessati che non è possibile contattare per informarli, rispetto al numero complessivo dei soggetti che si intende coinvolgere nella ricerca, produrrebbe conseguenze significative per lo studio in termini di alterazione dei relativi risultati; ciò avuto riguardo, in particolare, ai criteri di inclusione previsti dallo studio, alle modalità di arruolamento, alla numerosità statistica del campione prescelto, nonché al periodo di tempo trascorso dal momento in cui i dati riferiti agli interessati sono stati originariamente raccolti (ad esempio, nei casi in cui lo studio riguarda interessati con patologie ad elevata incidenza di mortalità o in fase terminale della malattia o in età avanzata e in gravi condizioni di salute).</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Con riferimento a tali motivi di impossibilità organizzativa, le seguenti prescrizioni concernono anche il trattamento dei dati di coloro i quali, all’esito di ogni ragionevole sforzo compiuto per contattarli, anche attraverso la verifica dello stato in vita, la consultazione dei dati riportati nella documentazione clinica, l’impiego dei recapiti telefonici eventualmente forniti, nonché l’acquisizione dei dati di contatto presso l’anagrafe degli assistiti o della popolazione residente, risultino essere al momento dell’arruolamento nello studio:</w:t>
      </w:r>
    </w:p>
    <w:p w:rsidR="000A238C" w:rsidRPr="000A238C" w:rsidRDefault="000A238C" w:rsidP="000A238C">
      <w:pPr>
        <w:spacing w:before="150" w:after="150" w:line="240" w:lineRule="auto"/>
        <w:ind w:left="12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deceduti o</w:t>
      </w:r>
    </w:p>
    <w:p w:rsidR="000A238C" w:rsidRPr="000A238C" w:rsidRDefault="000A238C" w:rsidP="000A238C">
      <w:pPr>
        <w:spacing w:before="150" w:after="150" w:line="240" w:lineRule="auto"/>
        <w:ind w:left="12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non contattabili.</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Resta fermo l’obbligo di raccogliere il consenso al trattamento dei dati degli interessati inclusi nella ricerca in tutti i casi in cui, nel corso dello studio, sia possibile rendere loro un’adeguata informativa e, in particolare, laddove questi si rivolgano al centro di cura, anche per visite di controllo.</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lastRenderedPageBreak/>
        <w:t xml:space="preserve">3. motivi di salute riconducibili alla gravità dello stato clinico in cui versa l’interessato a causa del quale questi è impossibilitato a comprendere le indicazioni rese nell´informativa e a prestare validamente il consenso. In tali casi, lo studio deve essere volto al miglioramento dello stesso stato clinico in cui versa l’interessato. Inoltre, occorre comprovare che le finalità dello studio non possano essere conseguite mediante il trattamento di dati riferiti a persone in grado di comprendere le indicazioni rese nell´informativa e di prestare validamente il consenso o con altre metodologie di ricerca. Ciò, avuto riguardo, in particolare, ai criteri di inclusione previsti dallo studio, alle modalità di arruolamento, alla numerosità statistica del campione prescelto, nonché all’attendibilità dei risultati conseguibili in relazione alle specifiche finalità dello studio. Con riferimento a tali motivi, deve essere acquisito il consenso delle persone indicate nell´art. 82, comma 2, </w:t>
      </w:r>
      <w:proofErr w:type="spellStart"/>
      <w:r w:rsidRPr="000A238C">
        <w:rPr>
          <w:rFonts w:ascii="Helvetica" w:eastAsia="Times New Roman" w:hAnsi="Helvetica" w:cs="Helvetica"/>
          <w:color w:val="292929"/>
          <w:sz w:val="18"/>
          <w:szCs w:val="18"/>
          <w:lang w:eastAsia="it-IT"/>
        </w:rPr>
        <w:t>lett</w:t>
      </w:r>
      <w:proofErr w:type="spellEnd"/>
      <w:r w:rsidRPr="000A238C">
        <w:rPr>
          <w:rFonts w:ascii="Helvetica" w:eastAsia="Times New Roman" w:hAnsi="Helvetica" w:cs="Helvetica"/>
          <w:color w:val="292929"/>
          <w:sz w:val="18"/>
          <w:szCs w:val="18"/>
          <w:lang w:eastAsia="it-IT"/>
        </w:rPr>
        <w:t>. a), del Codice come modificato dal d.lgs. n. 101/2018. Ciò, fermo restando che sia resa all’interessato l’informativa sul trattamento dei dati e sia raccolto il suo consenso non appena le condizioni di salute glielo consentano, anche in armonia con gli orientamenti internazionali in materia (cfr. par. 29 della Dichiarazione di Helsinki dell´Associazione medica mondiale del giugno 1964 e successive modificazioni).</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5.4 Modalità di trattamento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xml:space="preserve">Ove la ricerca non possa raggiungere i suoi scopi senza l’identificazione, anche temporanea, degli interessati, nel trattamento successivo alla raccolta retrospettiva dei dati, sono adottate tecniche di cifratura o di </w:t>
      </w:r>
      <w:proofErr w:type="spellStart"/>
      <w:r w:rsidRPr="000A238C">
        <w:rPr>
          <w:rFonts w:ascii="Helvetica" w:eastAsia="Times New Roman" w:hAnsi="Helvetica" w:cs="Helvetica"/>
          <w:color w:val="292929"/>
          <w:sz w:val="18"/>
          <w:szCs w:val="18"/>
          <w:lang w:eastAsia="it-IT"/>
        </w:rPr>
        <w:t>pseudonimizzazione</w:t>
      </w:r>
      <w:proofErr w:type="spellEnd"/>
      <w:r w:rsidRPr="000A238C">
        <w:rPr>
          <w:rFonts w:ascii="Helvetica" w:eastAsia="Times New Roman" w:hAnsi="Helvetica" w:cs="Helvetica"/>
          <w:color w:val="292929"/>
          <w:sz w:val="18"/>
          <w:szCs w:val="18"/>
          <w:lang w:eastAsia="it-IT"/>
        </w:rPr>
        <w:t xml:space="preserve"> oppure altre soluzioni che, considerato il volume dei dati trattati, la natura, l’oggetto, il contesto e le finalità del trattamento li rendono non direttamente riconducibili agli interessati, permettendo di identificare questi ultimi solo in caso di necessità. In questi casi, i codici utilizzati non sono desumibili dai dati personali identificativi degli interessati, salvo che ciò risulti impossibile in ragione delle particolari caratteristiche del trattamento o richieda un impiego di mezzi manifestamente sproporzionato e sia motivato, altresì, per iscritto, nel progetto di ricerca.</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L’abbinamento al materiale di ricerca dei dati identificativi dell’interessato, sempre che sia temporaneo ed essenziale per il risultato della ricerca, è motivato, inoltre, per iscritto.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xml:space="preserve">In applicazione del principio di minimizzazione, il trattamento di dati personali per scopi di ricerca scientifica in campo medico, biomedico o epidemiologico può riguardare i dati idonei a rivelare lo stato di salute degli interessati e, solo ove indispensabili per il raggiungimento delle finalità della ricerca, congiuntamente anche i dati idonei a rivelare la vita sessuale e l´origine razziale ed etnica (art. 5, par. 1, </w:t>
      </w:r>
      <w:proofErr w:type="spellStart"/>
      <w:r w:rsidRPr="000A238C">
        <w:rPr>
          <w:rFonts w:ascii="Helvetica" w:eastAsia="Times New Roman" w:hAnsi="Helvetica" w:cs="Helvetica"/>
          <w:color w:val="292929"/>
          <w:sz w:val="18"/>
          <w:szCs w:val="18"/>
          <w:lang w:eastAsia="it-IT"/>
        </w:rPr>
        <w:t>lett</w:t>
      </w:r>
      <w:proofErr w:type="spellEnd"/>
      <w:r w:rsidRPr="000A238C">
        <w:rPr>
          <w:rFonts w:ascii="Helvetica" w:eastAsia="Times New Roman" w:hAnsi="Helvetica" w:cs="Helvetica"/>
          <w:color w:val="292929"/>
          <w:sz w:val="18"/>
          <w:szCs w:val="18"/>
          <w:lang w:eastAsia="it-IT"/>
        </w:rPr>
        <w:t>. c), Regolamento UE 2016/679).</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5.5 Comunicazione e diffusione</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I soggetti che agiscono in qualità di titolari del trattamento per le finalità in esame, anche unitamente ad altri titolari, possono comunicare tra loro i dati personali oggetto della presente autorizzazione nella misura in cui rivestano il ruolo di promotore, di centro coordinatore o di centro partecipante e l’operazione di comunicazione sia indispensabile per la conduzione dello studio.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In aggiunta al divieto di diffusione dei dati idonei a rivelare lo stato di salute degli interessati (art. 2-septies del Codice), non possono essere diffusi anche quelli relativi alla vita sessuale e all’origine razziale ed etnica utilizzati per la conduzione dello studio. </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5.6 Conservazione dei dati e dei campioni</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I dati e i campioni biologici utilizzati per l’esecuzione della ricerca sono conservati mediante tecniche di cifratura o l’utilizzazione di codici identificativi oppure di altre soluzioni che, considerato il numero dei dati e dei campioni conservati, non li rendono direttamente riconducibili agli interessati, per un periodo di tempo non superiore a quello necessario agli scopi per i quali essi sono stati raccolti o successivamente trattati.</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A tal fine, è indicato nel progetto di ricerca il periodo di conservazione, successivo alla conclusione dello studio, al termine del quale i predetti dati e campioni sono anonimizzati.</w:t>
      </w:r>
    </w:p>
    <w:p w:rsidR="000A238C" w:rsidRPr="000A238C" w:rsidRDefault="000A238C" w:rsidP="000A238C">
      <w:pPr>
        <w:spacing w:before="150" w:after="150" w:line="240" w:lineRule="auto"/>
        <w:rPr>
          <w:rFonts w:ascii="Helvetica" w:eastAsia="Times New Roman" w:hAnsi="Helvetica" w:cs="Helvetica"/>
          <w:color w:val="292929"/>
          <w:sz w:val="20"/>
          <w:szCs w:val="20"/>
          <w:lang w:eastAsia="it-IT"/>
        </w:rPr>
      </w:pPr>
      <w:r w:rsidRPr="000A238C">
        <w:rPr>
          <w:rFonts w:ascii="Helvetica" w:eastAsia="Times New Roman" w:hAnsi="Helvetica" w:cs="Helvetica"/>
          <w:i/>
          <w:iCs/>
          <w:color w:val="292929"/>
          <w:sz w:val="18"/>
          <w:szCs w:val="18"/>
          <w:lang w:eastAsia="it-IT"/>
        </w:rPr>
        <w:t>5.7 Custodia e sicurezza</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Fermo restando l’obbligo di adottare le misure tecniche e organizzative per garantire un livello di sicurezza adeguato al rischio, sono impiegati dal/i titolare/i del trattamento, ciascuno per la parte di propria competenza in relazione al ruolo ricoperto nel trattamento dei dati e alle conseguenti responsabilità, specifiche misure e accorgimenti tecnici per incrementare il livello di sicurezza dei dati trattati per l’esecuzione dello studio.</w:t>
      </w:r>
    </w:p>
    <w:p w:rsidR="000A238C" w:rsidRPr="000A238C" w:rsidRDefault="000A238C" w:rsidP="000A238C">
      <w:pPr>
        <w:spacing w:before="150" w:after="150" w:line="240" w:lineRule="auto"/>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Ciò sia nella fase di memorizzazione o archiviazione dei dati (e, eventualmente, di raccolta e conservazione dei campioni biologici), sia nella fase successiva di elaborazione delle medesime informazioni, nonché nella successiva fase di trasmissione dei dati al promotore o ai soggetti esterni che collaborano con il primo per l’esecuzione dello studio. Sono adottati, in particolare:</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a. accorgimenti adeguati a garantire la qualità dei dati e la corretta attribuzione agli interessati; </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xml:space="preserve">b. idonei accorgimenti per garantire la protezione dei dati dello studio dai rischi di accesso abusivo ai dati, furto o smarrimento parziali o integrali dei supporti di memorizzazione o dei sistemi di elaborazione portatili o fissi (ad esempio, attraverso l’applicazione parziale o integrale di tecnologie crittografiche a file </w:t>
      </w:r>
      <w:proofErr w:type="spellStart"/>
      <w:r w:rsidRPr="000A238C">
        <w:rPr>
          <w:rFonts w:ascii="Helvetica" w:eastAsia="Times New Roman" w:hAnsi="Helvetica" w:cs="Helvetica"/>
          <w:color w:val="292929"/>
          <w:sz w:val="18"/>
          <w:szCs w:val="18"/>
          <w:lang w:eastAsia="it-IT"/>
        </w:rPr>
        <w:t>system</w:t>
      </w:r>
      <w:proofErr w:type="spellEnd"/>
      <w:r w:rsidRPr="000A238C">
        <w:rPr>
          <w:rFonts w:ascii="Helvetica" w:eastAsia="Times New Roman" w:hAnsi="Helvetica" w:cs="Helvetica"/>
          <w:color w:val="292929"/>
          <w:sz w:val="18"/>
          <w:szCs w:val="18"/>
          <w:lang w:eastAsia="it-IT"/>
        </w:rPr>
        <w:t xml:space="preserve"> o database, oppure tramite l’adozione di altre misure che rendano inintelligibili i dati ai soggetti non legittimati) nelle operazioni di registrazione e archiviazione dei dati;</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lastRenderedPageBreak/>
        <w:t>c. canali di trasmissione protetti, tenendo conto dello stato dell’arte della tecnologia, nei casi in cui si renda necessaria la comunicazione dei dati raccolti nell’ambito dello studio a una banca dati centralizzata dove sono memorizzati e archiviati oppure ad un promotore o a soggetti esterni di cui lo stesso promotore si avvale per la conduzione dello studio. Laddove detta trasmissione sia effettuata mediante supporto ottico (CD-ROM) è designato uno specifico incaricato della ricezione presso il promotore ed è utilizzato, per la condivisione della chiave di cifratura dei dati, un canale di trasmissione differente da quello utilizzato per la trasmissione del contenuto;</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d. tecniche di etichettatura, nella conservazione e nella trasmissione di campioni biologici, mediante codici identificativi, oppure altre soluzioni che, considerato il numero di campioni utilizzati, li rendono non direttamente riconducibili agli interessati, permettendo di identificare questi ultimi solo in caso di necessità;</w:t>
      </w:r>
    </w:p>
    <w:p w:rsidR="000A238C" w:rsidRPr="000A238C" w:rsidRDefault="000A238C" w:rsidP="000A238C">
      <w:pPr>
        <w:spacing w:before="150" w:after="150" w:line="240" w:lineRule="auto"/>
        <w:ind w:left="6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e. con specifico riferimento alle operazioni di elaborazione dei dati dello studio memorizzati su in una banca dati centralizzata, è necessario adottare:</w:t>
      </w:r>
    </w:p>
    <w:p w:rsidR="000A238C" w:rsidRPr="000A238C" w:rsidRDefault="000A238C" w:rsidP="000A238C">
      <w:pPr>
        <w:spacing w:before="150" w:after="150" w:line="240" w:lineRule="auto"/>
        <w:ind w:left="12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idonei sistemi di autenticazione e di autorizzazione per il personale preposto al trattamento in funzione dei ruoli e delle esigenze di accesso e trattamento, avendo cura di utilizzare credenziali di validità limitata alla durata dello studio e di disattivarle al termine dello stesso;</w:t>
      </w:r>
    </w:p>
    <w:p w:rsidR="000A238C" w:rsidRPr="000A238C" w:rsidRDefault="000A238C" w:rsidP="000A238C">
      <w:pPr>
        <w:spacing w:before="150" w:after="150" w:line="240" w:lineRule="auto"/>
        <w:ind w:left="12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procedure per la verifica periodica della qualità e coerenza delle credenziali di autenticazione e dei profili di autorizzazione assegnati ai soggetti designati al trattamento;</w:t>
      </w:r>
    </w:p>
    <w:p w:rsidR="000A238C" w:rsidRPr="000A238C" w:rsidRDefault="000A238C" w:rsidP="000A238C">
      <w:pPr>
        <w:spacing w:before="150" w:line="240" w:lineRule="auto"/>
        <w:ind w:left="1245"/>
        <w:jc w:val="both"/>
        <w:rPr>
          <w:rFonts w:ascii="Helvetica" w:eastAsia="Times New Roman" w:hAnsi="Helvetica" w:cs="Helvetica"/>
          <w:color w:val="292929"/>
          <w:sz w:val="20"/>
          <w:szCs w:val="20"/>
          <w:lang w:eastAsia="it-IT"/>
        </w:rPr>
      </w:pPr>
      <w:r w:rsidRPr="000A238C">
        <w:rPr>
          <w:rFonts w:ascii="Helvetica" w:eastAsia="Times New Roman" w:hAnsi="Helvetica" w:cs="Helvetica"/>
          <w:color w:val="292929"/>
          <w:sz w:val="18"/>
          <w:szCs w:val="18"/>
          <w:lang w:eastAsia="it-IT"/>
        </w:rPr>
        <w:t>- sistemi di audit log per il controllo degli accessi al database e per il rilevamento di eventuali anomalie.</w:t>
      </w:r>
    </w:p>
    <w:p w:rsidR="00943392" w:rsidRDefault="00943392"/>
    <w:sectPr w:rsidR="009433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8C"/>
    <w:rsid w:val="000A238C"/>
    <w:rsid w:val="0094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82F0A-B229-41EB-83B5-C3A3D62B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07394">
      <w:bodyDiv w:val="1"/>
      <w:marLeft w:val="0"/>
      <w:marRight w:val="0"/>
      <w:marTop w:val="0"/>
      <w:marBottom w:val="0"/>
      <w:divBdr>
        <w:top w:val="none" w:sz="0" w:space="0" w:color="auto"/>
        <w:left w:val="none" w:sz="0" w:space="0" w:color="auto"/>
        <w:bottom w:val="none" w:sz="0" w:space="0" w:color="auto"/>
        <w:right w:val="none" w:sz="0" w:space="0" w:color="auto"/>
      </w:divBdr>
      <w:divsChild>
        <w:div w:id="1732919604">
          <w:marLeft w:val="0"/>
          <w:marRight w:val="0"/>
          <w:marTop w:val="0"/>
          <w:marBottom w:val="0"/>
          <w:divBdr>
            <w:top w:val="none" w:sz="0" w:space="0" w:color="auto"/>
            <w:left w:val="none" w:sz="0" w:space="0" w:color="auto"/>
            <w:bottom w:val="none" w:sz="0" w:space="0" w:color="auto"/>
            <w:right w:val="none" w:sz="0" w:space="0" w:color="auto"/>
          </w:divBdr>
          <w:divsChild>
            <w:div w:id="1299452825">
              <w:marLeft w:val="0"/>
              <w:marRight w:val="0"/>
              <w:marTop w:val="0"/>
              <w:marBottom w:val="0"/>
              <w:divBdr>
                <w:top w:val="none" w:sz="0" w:space="0" w:color="auto"/>
                <w:left w:val="none" w:sz="0" w:space="0" w:color="auto"/>
                <w:bottom w:val="none" w:sz="0" w:space="0" w:color="auto"/>
                <w:right w:val="none" w:sz="0" w:space="0" w:color="auto"/>
              </w:divBdr>
              <w:divsChild>
                <w:div w:id="405492814">
                  <w:marLeft w:val="0"/>
                  <w:marRight w:val="0"/>
                  <w:marTop w:val="0"/>
                  <w:marBottom w:val="0"/>
                  <w:divBdr>
                    <w:top w:val="none" w:sz="0" w:space="0" w:color="auto"/>
                    <w:left w:val="none" w:sz="0" w:space="0" w:color="auto"/>
                    <w:bottom w:val="none" w:sz="0" w:space="0" w:color="auto"/>
                    <w:right w:val="none" w:sz="0" w:space="0" w:color="auto"/>
                  </w:divBdr>
                  <w:divsChild>
                    <w:div w:id="538472343">
                      <w:marLeft w:val="0"/>
                      <w:marRight w:val="0"/>
                      <w:marTop w:val="0"/>
                      <w:marBottom w:val="0"/>
                      <w:divBdr>
                        <w:top w:val="none" w:sz="0" w:space="0" w:color="auto"/>
                        <w:left w:val="none" w:sz="0" w:space="0" w:color="auto"/>
                        <w:bottom w:val="none" w:sz="0" w:space="0" w:color="auto"/>
                        <w:right w:val="none" w:sz="0" w:space="0" w:color="auto"/>
                      </w:divBdr>
                      <w:divsChild>
                        <w:div w:id="909384036">
                          <w:marLeft w:val="0"/>
                          <w:marRight w:val="0"/>
                          <w:marTop w:val="0"/>
                          <w:marBottom w:val="0"/>
                          <w:divBdr>
                            <w:top w:val="none" w:sz="0" w:space="0" w:color="auto"/>
                            <w:left w:val="none" w:sz="0" w:space="0" w:color="auto"/>
                            <w:bottom w:val="none" w:sz="0" w:space="0" w:color="auto"/>
                            <w:right w:val="none" w:sz="0" w:space="0" w:color="auto"/>
                          </w:divBdr>
                          <w:divsChild>
                            <w:div w:id="1043942580">
                              <w:marLeft w:val="0"/>
                              <w:marRight w:val="0"/>
                              <w:marTop w:val="0"/>
                              <w:marBottom w:val="0"/>
                              <w:divBdr>
                                <w:top w:val="none" w:sz="0" w:space="0" w:color="auto"/>
                                <w:left w:val="none" w:sz="0" w:space="0" w:color="auto"/>
                                <w:bottom w:val="none" w:sz="0" w:space="0" w:color="auto"/>
                                <w:right w:val="none" w:sz="0" w:space="0" w:color="auto"/>
                              </w:divBdr>
                              <w:divsChild>
                                <w:div w:id="1275331996">
                                  <w:marLeft w:val="0"/>
                                  <w:marRight w:val="0"/>
                                  <w:marTop w:val="0"/>
                                  <w:marBottom w:val="0"/>
                                  <w:divBdr>
                                    <w:top w:val="none" w:sz="0" w:space="0" w:color="auto"/>
                                    <w:left w:val="none" w:sz="0" w:space="0" w:color="auto"/>
                                    <w:bottom w:val="none" w:sz="0" w:space="0" w:color="auto"/>
                                    <w:right w:val="none" w:sz="0" w:space="0" w:color="auto"/>
                                  </w:divBdr>
                                  <w:divsChild>
                                    <w:div w:id="1432824513">
                                      <w:marLeft w:val="0"/>
                                      <w:marRight w:val="0"/>
                                      <w:marTop w:val="0"/>
                                      <w:marBottom w:val="0"/>
                                      <w:divBdr>
                                        <w:top w:val="none" w:sz="0" w:space="0" w:color="auto"/>
                                        <w:left w:val="none" w:sz="0" w:space="0" w:color="auto"/>
                                        <w:bottom w:val="none" w:sz="0" w:space="0" w:color="auto"/>
                                        <w:right w:val="none" w:sz="0" w:space="0" w:color="auto"/>
                                      </w:divBdr>
                                      <w:divsChild>
                                        <w:div w:id="294408854">
                                          <w:marLeft w:val="0"/>
                                          <w:marRight w:val="0"/>
                                          <w:marTop w:val="0"/>
                                          <w:marBottom w:val="0"/>
                                          <w:divBdr>
                                            <w:top w:val="none" w:sz="0" w:space="0" w:color="auto"/>
                                            <w:left w:val="none" w:sz="0" w:space="0" w:color="auto"/>
                                            <w:bottom w:val="none" w:sz="0" w:space="0" w:color="auto"/>
                                            <w:right w:val="none" w:sz="0" w:space="0" w:color="auto"/>
                                          </w:divBdr>
                                          <w:divsChild>
                                            <w:div w:id="26377622">
                                              <w:marLeft w:val="0"/>
                                              <w:marRight w:val="0"/>
                                              <w:marTop w:val="0"/>
                                              <w:marBottom w:val="0"/>
                                              <w:divBdr>
                                                <w:top w:val="none" w:sz="0" w:space="0" w:color="auto"/>
                                                <w:left w:val="none" w:sz="0" w:space="0" w:color="auto"/>
                                                <w:bottom w:val="none" w:sz="0" w:space="0" w:color="auto"/>
                                                <w:right w:val="none" w:sz="0" w:space="0" w:color="auto"/>
                                              </w:divBdr>
                                              <w:divsChild>
                                                <w:div w:id="601840696">
                                                  <w:marLeft w:val="45"/>
                                                  <w:marRight w:val="45"/>
                                                  <w:marTop w:val="150"/>
                                                  <w:marBottom w:val="150"/>
                                                  <w:divBdr>
                                                    <w:top w:val="single" w:sz="6" w:space="8" w:color="EAEAEA"/>
                                                    <w:left w:val="single" w:sz="6" w:space="0" w:color="EAEAEA"/>
                                                    <w:bottom w:val="single" w:sz="6" w:space="8" w:color="EAEAEA"/>
                                                    <w:right w:val="single" w:sz="6" w:space="8" w:color="EAEAEA"/>
                                                  </w:divBdr>
                                                  <w:divsChild>
                                                    <w:div w:id="1538004544">
                                                      <w:marLeft w:val="0"/>
                                                      <w:marRight w:val="0"/>
                                                      <w:marTop w:val="0"/>
                                                      <w:marBottom w:val="300"/>
                                                      <w:divBdr>
                                                        <w:top w:val="none" w:sz="0" w:space="0" w:color="auto"/>
                                                        <w:left w:val="single" w:sz="6" w:space="8" w:color="EAEAEA"/>
                                                        <w:bottom w:val="none" w:sz="0" w:space="0" w:color="auto"/>
                                                        <w:right w:val="none" w:sz="0" w:space="0" w:color="auto"/>
                                                      </w:divBdr>
                                                      <w:divsChild>
                                                        <w:div w:id="1488327847">
                                                          <w:marLeft w:val="0"/>
                                                          <w:marRight w:val="0"/>
                                                          <w:marTop w:val="0"/>
                                                          <w:marBottom w:val="0"/>
                                                          <w:divBdr>
                                                            <w:top w:val="none" w:sz="0" w:space="0" w:color="auto"/>
                                                            <w:left w:val="none" w:sz="0" w:space="0" w:color="auto"/>
                                                            <w:bottom w:val="none" w:sz="0" w:space="0" w:color="auto"/>
                                                            <w:right w:val="none" w:sz="0" w:space="0" w:color="auto"/>
                                                          </w:divBdr>
                                                          <w:divsChild>
                                                            <w:div w:id="5717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bertiglia</dc:creator>
  <cp:keywords/>
  <dc:description/>
  <cp:lastModifiedBy>grazia bertiglia</cp:lastModifiedBy>
  <cp:revision>1</cp:revision>
  <dcterms:created xsi:type="dcterms:W3CDTF">2019-01-24T11:52:00Z</dcterms:created>
  <dcterms:modified xsi:type="dcterms:W3CDTF">2019-01-24T11:53:00Z</dcterms:modified>
</cp:coreProperties>
</file>